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7121" w14:textId="77777777" w:rsidR="005B1C7A" w:rsidRPr="005B1C7A" w:rsidRDefault="005B1C7A" w:rsidP="005B1C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B1C7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WZÓR</w:t>
      </w:r>
    </w:p>
    <w:p w14:paraId="7874DA2C" w14:textId="77777777" w:rsidR="005B1C7A" w:rsidRPr="005B1C7A" w:rsidRDefault="005B1C7A" w:rsidP="005B1C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B1C7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KWESTIONARIUSZA KONTROLI UDZIELANIA ZAMÓWIEŃ PUBLICZNYCH</w:t>
      </w:r>
    </w:p>
    <w:p w14:paraId="35E2CC5C" w14:textId="77777777" w:rsidR="005B1C7A" w:rsidRDefault="005B1C7A" w:rsidP="005B1C7A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5B1C7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(art. 599 ust. 1 ustawy z dnia 11 września 2019 r. </w:t>
      </w:r>
      <w:r w:rsidRPr="005B1C7A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>Prawo</w:t>
      </w:r>
      <w:r w:rsidRPr="005B1C7A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5B1C7A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>zamówień publicznych</w:t>
      </w:r>
      <w:r w:rsidRPr="005B1C7A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 - dalej: </w:t>
      </w:r>
      <w:proofErr w:type="spellStart"/>
      <w:r w:rsidRPr="005B1C7A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5B1C7A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)</w:t>
      </w:r>
      <w:r w:rsidRPr="005B1C7A">
        <w:rPr>
          <w:rFonts w:ascii="Arial" w:eastAsia="Times New Roman" w:hAnsi="Arial" w:cs="Arial"/>
          <w:iCs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</w:p>
    <w:p w14:paraId="003D1072" w14:textId="77777777" w:rsidR="00D704F4" w:rsidRDefault="00D704F4" w:rsidP="005B1C7A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p w14:paraId="539DCD3D" w14:textId="77777777" w:rsidR="00391B0C" w:rsidRPr="005B1C7A" w:rsidRDefault="00391B0C" w:rsidP="005B1C7A">
      <w:pPr>
        <w:autoSpaceDE w:val="0"/>
        <w:autoSpaceDN w:val="0"/>
        <w:adjustRightInd w:val="0"/>
        <w:spacing w:before="163" w:after="0" w:line="240" w:lineRule="auto"/>
        <w:jc w:val="center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</w:p>
    <w:p w14:paraId="6E25122F" w14:textId="77777777" w:rsidR="00D704F4" w:rsidRPr="000B0D00" w:rsidRDefault="00D704F4" w:rsidP="00D704F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B0D00">
        <w:rPr>
          <w:rFonts w:ascii="Arial" w:eastAsia="Times New Roman" w:hAnsi="Arial" w:cs="Arial"/>
          <w:b/>
          <w:kern w:val="0"/>
          <w:lang w:eastAsia="pl-PL"/>
          <w14:ligatures w14:val="none"/>
        </w:rPr>
        <w:t>Zagadnienia podlegające sprawdzeniu w toku kontroli:</w:t>
      </w:r>
    </w:p>
    <w:p w14:paraId="44B50442" w14:textId="77777777" w:rsidR="00241664" w:rsidRDefault="00241664" w:rsidP="002416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07E7C32" w14:textId="6F5AEF26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Organizacja w Komendzie Stołecznej Policji procesu udzielania zamówień publicznych oraz wewnętrzne regulacje w tym zakresie.</w:t>
      </w:r>
    </w:p>
    <w:p w14:paraId="2F6F4A3B" w14:textId="7E2D76A6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Planowanie zamówień publicznych i prowadzenie rejestru/ewidencji zamówień publicznych oraz sporządzanie sprawozdań z tego zakresu.</w:t>
      </w:r>
    </w:p>
    <w:p w14:paraId="5B7F7886" w14:textId="484CFFCF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Zasadność zastosowania przepisów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udzielenia kontrolowanego zamówienia.</w:t>
      </w:r>
    </w:p>
    <w:p w14:paraId="443F8445" w14:textId="3BC64A9A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Wyłączenia podmiotowe i przedmiotowe ze stosowania przepisów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3C231DE" w14:textId="6E737158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Prawidłowość dokonania wyboru procedury zgodnie z przepisami Działu II, III, IV, V, VI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BFFF394" w14:textId="27A1B542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Prawidłowość zastosowania przepisów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zamówień o charakterze mieszanym.</w:t>
      </w:r>
    </w:p>
    <w:p w14:paraId="05305E1E" w14:textId="3F46F34B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Zgodność sposobu ustalenia wartości zamówienia oraz szczególnych instrumentów i procedur z przepisami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B976736" w14:textId="33A26E4A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Prawidłowość wykonania czynności przez osoby którym kierownik zamawiającego powierzył wykonanie zastrzeżonych dla niego czynności i przez osoby którym powierzono czynności w postępowaniu oraz czynności związane z przygotowaniem postępowania, a także przez komisję przetargową.</w:t>
      </w:r>
    </w:p>
    <w:p w14:paraId="6A5F52F0" w14:textId="356F3616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Uwzględnienie aspektów społecznych.</w:t>
      </w:r>
    </w:p>
    <w:p w14:paraId="65FDB699" w14:textId="55DA9455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Prawidłowość zastosowania przepisów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komunikacji zamawiającego z wykonawcami.</w:t>
      </w:r>
    </w:p>
    <w:p w14:paraId="5152FD9F" w14:textId="3D7976AB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Zgodność sposobu dokumentowania przebiegu postępowania o udzielenie zamówienia, konkursu, umowy ramowej, zmiany umowy lub umowy ramowej z przepisami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7D8A822" w14:textId="25F6E890" w:rsidR="00241664" w:rsidRPr="00241664" w:rsidRDefault="00241664" w:rsidP="000B0D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Przygotowanie i przeprowadzenie postępowania oraz udzielenie zamówienia o wartości równej lub przekraczającej progi unijne, w tym:</w:t>
      </w:r>
    </w:p>
    <w:p w14:paraId="4DB7055B" w14:textId="22FBC54D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prawidłowość przygotowania postępowania o udzielenie zamówienia,</w:t>
      </w:r>
    </w:p>
    <w:p w14:paraId="01554835" w14:textId="62F2DB9F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zasadność podziału zamówienia na części,</w:t>
      </w:r>
    </w:p>
    <w:p w14:paraId="3FBFCC0E" w14:textId="22ACC577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badanie wystąpienia konfliktu interesów,</w:t>
      </w:r>
    </w:p>
    <w:p w14:paraId="3C0414C5" w14:textId="14853379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stosowanie przepisów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dotyczących ogłoszeń,</w:t>
      </w:r>
    </w:p>
    <w:p w14:paraId="039DAD26" w14:textId="0065213F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prawidłowość ustalenia warunków zamówienia zgodnie z treścią przepisów zawartych w Dziale II Rozdziale 2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53084DA4" w14:textId="74DDD6D6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prawidłowość dokonania opisu przedmiotu zamówienia,</w:t>
      </w:r>
    </w:p>
    <w:p w14:paraId="00976752" w14:textId="44CCDB46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zasadność zastosowanych wymogów i dokonanych lub zaniechanych czynności w odniesieniu do przedmiotowych środków dowodowych, </w:t>
      </w:r>
    </w:p>
    <w:p w14:paraId="4B6366FE" w14:textId="1FF0613C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prawidłowość wykluczenia; zaniechanie wykluczenia wykonawcy z postępowania,</w:t>
      </w:r>
    </w:p>
    <w:p w14:paraId="3F72EC93" w14:textId="3817D79A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wyjaśnienia i zmiany SWZ,</w:t>
      </w:r>
    </w:p>
    <w:p w14:paraId="36EAA197" w14:textId="5F7CDE79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prawidłowość ustalenia kryteriów oceny ofert,</w:t>
      </w:r>
    </w:p>
    <w:p w14:paraId="6245DDB1" w14:textId="0B2F3CB2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prawidłowość ustalenia terminów w postępowaniu,</w:t>
      </w:r>
    </w:p>
    <w:p w14:paraId="2D56C637" w14:textId="5516C3FB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prawidłowość określenia formy i terminu wniesienia wadium oraz zabezpieczenia należytego wykonania umowy oraz prawidłowość postępowania z wadium i zabezpieczeniem należytego wykonania umowy,</w:t>
      </w:r>
    </w:p>
    <w:p w14:paraId="74FEE992" w14:textId="416D5E38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prawidłowość zastosowania przepisów dotyczących udostępniania zasobów,</w:t>
      </w:r>
    </w:p>
    <w:p w14:paraId="72536BB7" w14:textId="16FC098F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zasadność zastosowanych wymogów i dokonanych lub zaniechanych czynności w odniesieniu do podmiotowych środków dowodowych oraz oświadczenia, o którym mowa w art. 125 ust. 1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558380E" w14:textId="6231EBBC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zastosowanie przepisów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dotyczących składania, otwarcia, badania i oceny ofert,</w:t>
      </w:r>
    </w:p>
    <w:p w14:paraId="246B2C35" w14:textId="3264278A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dopuszczalność i prawidłowość zastosowania aukcji elektronicznej,</w:t>
      </w:r>
    </w:p>
    <w:p w14:paraId="3E8BACCB" w14:textId="485DA987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 xml:space="preserve">dokonanie wyboru najkorzystniejszej oferty zgodnie z przepisami </w:t>
      </w:r>
      <w:proofErr w:type="spellStart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F70C2CA" w14:textId="1501603B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prawidłowość unieważnienia postępowania; zaniechanie unieważnienia postępowania,</w:t>
      </w:r>
    </w:p>
    <w:p w14:paraId="73ED6718" w14:textId="5E076A8B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zadośćuczynienie obowiązkom informacyjnym względem wykonawców w związku z dokonywanymi czynnościami,</w:t>
      </w:r>
    </w:p>
    <w:p w14:paraId="7598E7E5" w14:textId="23D2C06B" w:rsidR="00241664" w:rsidRPr="00241664" w:rsidRDefault="00241664" w:rsidP="000B0D00">
      <w:pPr>
        <w:pStyle w:val="Akapitzlist"/>
        <w:numPr>
          <w:ilvl w:val="0"/>
          <w:numId w:val="5"/>
        </w:numPr>
        <w:tabs>
          <w:tab w:val="left" w:pos="466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41664">
        <w:rPr>
          <w:rFonts w:ascii="Arial" w:eastAsia="Times New Roman" w:hAnsi="Arial" w:cs="Arial"/>
          <w:kern w:val="0"/>
          <w:lang w:eastAsia="pl-PL"/>
          <w14:ligatures w14:val="none"/>
        </w:rPr>
        <w:t>prawidłowość procedury zawierania umowy w sprawie zamówienia publicznego.</w:t>
      </w:r>
    </w:p>
    <w:p w14:paraId="060536DA" w14:textId="5D8F4E28"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Przygotowanie i przeprowadzenie procedury udzielenia zamówienia w zakresie postępowania o udzielenie zamówienia o wartości mniejszej niż progi unijne </w:t>
      </w:r>
      <w:r w:rsidRPr="00814524">
        <w:rPr>
          <w:rFonts w:ascii="Arial" w:eastAsia="Times New Roman" w:hAnsi="Arial" w:cs="Arial"/>
          <w:bCs/>
          <w:kern w:val="0"/>
          <w:lang w:eastAsia="pl-PL"/>
          <w14:ligatures w14:val="none"/>
        </w:rPr>
        <w:t>(z uwzględnieniem zagadnień wskazanych w pkt 12).</w:t>
      </w:r>
    </w:p>
    <w:p w14:paraId="11160A03" w14:textId="67DA248A"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>Prawidłowość przeprowadzenia postępowania w przedmiocie zawarcia umowy ramowej oraz udzielenia zamówienia objętego umową ramową lub zmiany umowy ramowej.</w:t>
      </w:r>
    </w:p>
    <w:p w14:paraId="158ACD24" w14:textId="77C0D675"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 xml:space="preserve">Dopuszczalność i zgodność z prawem postępowania w celu ustanowienia dynamicznego systemu zakupów oraz prawidłowość udzielenia zamówienia objętego tym systemem </w:t>
      </w:r>
      <w:r w:rsidRPr="00814524">
        <w:rPr>
          <w:rFonts w:ascii="Arial" w:eastAsia="Times New Roman" w:hAnsi="Arial" w:cs="Arial"/>
          <w:bCs/>
          <w:kern w:val="0"/>
          <w:lang w:eastAsia="pl-PL"/>
          <w14:ligatures w14:val="none"/>
        </w:rPr>
        <w:t>(z uwzględnieniem zagadnień wskazanych w pkt 12).</w:t>
      </w:r>
    </w:p>
    <w:p w14:paraId="08EC8C76" w14:textId="0914B776"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Prawidłowość zastosowania przepisów </w:t>
      </w:r>
      <w:proofErr w:type="spellStart"/>
      <w:r w:rsidRPr="00814524">
        <w:rPr>
          <w:rFonts w:ascii="Arial" w:eastAsia="Times New Roman" w:hAnsi="Arial" w:cs="Arial"/>
          <w:bCs/>
          <w:kern w:val="0"/>
          <w:lang w:eastAsia="pl-PL"/>
          <w14:ligatures w14:val="none"/>
        </w:rPr>
        <w:t>Pzp</w:t>
      </w:r>
      <w:proofErr w:type="spellEnd"/>
      <w:r w:rsidRPr="00814524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w zakresie konkursu (z uwzględnieniem zagadnień wskazanych w pkt 12).</w:t>
      </w:r>
    </w:p>
    <w:p w14:paraId="75D54F0D" w14:textId="132C4AB4"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bCs/>
          <w:kern w:val="0"/>
          <w:lang w:eastAsia="pl-PL"/>
          <w14:ligatures w14:val="none"/>
        </w:rPr>
        <w:t>Prawidłowość przeprowadzenia postępowania i udzielenia zamówienia w zakresie zamówień na usługi społeczne i inne szczególne usługi (z uwzględnieniem zagadnień wskazanych w pkt 12).</w:t>
      </w:r>
    </w:p>
    <w:p w14:paraId="13468ACE" w14:textId="4B74BC02"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bCs/>
          <w:kern w:val="0"/>
          <w:lang w:eastAsia="pl-PL"/>
          <w14:ligatures w14:val="none"/>
        </w:rPr>
        <w:t>Prawidłowość przeprowadzenia postępowania i udzielenia zamówienia w zakresie zamówień w dziedzinach obronności i bezpieczeństwa (z uwzględnieniem zagadnień wskazanych w pkt 12).</w:t>
      </w:r>
    </w:p>
    <w:p w14:paraId="1447B5AA" w14:textId="5DB63171"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Prawidłowość zastosowania przepisów </w:t>
      </w:r>
      <w:proofErr w:type="spellStart"/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zabezpieczeniu należytego wykonania umowy w ramach przygotowania i przeprowadzenia postępowania o udzielenie zamówienia.</w:t>
      </w:r>
    </w:p>
    <w:p w14:paraId="1E10F069" w14:textId="0B3D39E6"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Prawidłowość zastosowania przepisów </w:t>
      </w:r>
      <w:proofErr w:type="spellStart"/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podwykonawstwie w ramach przygotowania i przeprowadzenia postępowania o udzielenie zamówienia.</w:t>
      </w:r>
    </w:p>
    <w:p w14:paraId="0AE3A1B9" w14:textId="1DC9BAFC"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 xml:space="preserve">Zawarcie w umowie klauzul określonych w </w:t>
      </w:r>
      <w:proofErr w:type="spellStart"/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 xml:space="preserve"> jako obowiązkowe.</w:t>
      </w:r>
    </w:p>
    <w:p w14:paraId="59BFE4D0" w14:textId="29E195D8"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>Zawarcie w umowie klauzul abuzywnych.</w:t>
      </w:r>
    </w:p>
    <w:p w14:paraId="31B9D8A7" w14:textId="4F98CB67" w:rsidR="00241664" w:rsidRPr="00814524" w:rsidRDefault="00241664" w:rsidP="000B0D00">
      <w:pPr>
        <w:pStyle w:val="Akapitzlist"/>
        <w:numPr>
          <w:ilvl w:val="0"/>
          <w:numId w:val="4"/>
        </w:numPr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t>Prawidłowość dokonania zmiany umowy lub odstąpienia od umowy w sprawie zamówienia publicznego.</w:t>
      </w:r>
    </w:p>
    <w:p w14:paraId="41B95762" w14:textId="04CBF9E7" w:rsidR="00241664" w:rsidRDefault="00241664" w:rsidP="000B0D00">
      <w:pPr>
        <w:pStyle w:val="Akapitzlist"/>
        <w:numPr>
          <w:ilvl w:val="0"/>
          <w:numId w:val="4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14524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Prawidłowość prowadzenia dokumentacji finansowej oraz ewidencji księgowej związanej z kontrolowanym postępowaniem o udzielenie zamówienia publicznego.</w:t>
      </w:r>
    </w:p>
    <w:p w14:paraId="00D8DD95" w14:textId="77777777" w:rsidR="00391B0C" w:rsidRDefault="00391B0C" w:rsidP="000B0D00">
      <w:pPr>
        <w:tabs>
          <w:tab w:val="left" w:pos="31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E8A1819" w14:textId="77777777" w:rsidR="005B1C7A" w:rsidRPr="000B0D00" w:rsidRDefault="005B1C7A" w:rsidP="000B0D00">
      <w:pPr>
        <w:pStyle w:val="Style12"/>
        <w:widowControl/>
        <w:numPr>
          <w:ilvl w:val="0"/>
          <w:numId w:val="8"/>
        </w:numPr>
        <w:spacing w:before="10"/>
        <w:ind w:left="284" w:hanging="66"/>
        <w:rPr>
          <w:rStyle w:val="FontStyle17"/>
          <w:rFonts w:ascii="Arial" w:eastAsiaTheme="majorEastAsia" w:hAnsi="Arial" w:cs="Arial"/>
          <w:sz w:val="24"/>
          <w:szCs w:val="24"/>
        </w:rPr>
      </w:pPr>
      <w:r w:rsidRPr="000B0D00">
        <w:rPr>
          <w:rStyle w:val="FontStyle17"/>
          <w:rFonts w:ascii="Arial" w:eastAsiaTheme="majorEastAsia" w:hAnsi="Arial" w:cs="Arial"/>
          <w:sz w:val="24"/>
          <w:szCs w:val="24"/>
        </w:rPr>
        <w:t xml:space="preserve">Dokumenty, których organ kontroli może żądać od zamawiającego w </w:t>
      </w:r>
      <w:r w:rsidRPr="000B0D00">
        <w:rPr>
          <w:rStyle w:val="FontStyle16"/>
          <w:rFonts w:ascii="Arial" w:eastAsiaTheme="majorEastAsia" w:hAnsi="Arial" w:cs="Arial"/>
          <w:b/>
        </w:rPr>
        <w:t>toku</w:t>
      </w:r>
      <w:r w:rsidRPr="000B0D00">
        <w:rPr>
          <w:rStyle w:val="FontStyle16"/>
          <w:rFonts w:ascii="Arial" w:eastAsiaTheme="majorEastAsia" w:hAnsi="Arial" w:cs="Arial"/>
        </w:rPr>
        <w:t xml:space="preserve"> </w:t>
      </w:r>
      <w:r w:rsidRPr="000B0D00">
        <w:rPr>
          <w:rStyle w:val="FontStyle17"/>
          <w:rFonts w:ascii="Arial" w:eastAsiaTheme="majorEastAsia" w:hAnsi="Arial" w:cs="Arial"/>
          <w:sz w:val="24"/>
          <w:szCs w:val="24"/>
        </w:rPr>
        <w:t>kontroli:</w:t>
      </w:r>
    </w:p>
    <w:p w14:paraId="77681921" w14:textId="77777777" w:rsidR="005B1C7A" w:rsidRDefault="005B1C7A" w:rsidP="000B0D00">
      <w:pPr>
        <w:tabs>
          <w:tab w:val="left" w:pos="31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EB61114" w14:textId="2CB5ED9D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 xml:space="preserve">Plan zamówień publicznych oraz dokumentacja związana z planowaniem zamówień publicznych objętych ustawą </w:t>
      </w:r>
      <w:proofErr w:type="spellStart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Pzp</w:t>
      </w:r>
      <w:proofErr w:type="spellEnd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 xml:space="preserve"> i wyłączonych z jej stosowania.</w:t>
      </w:r>
    </w:p>
    <w:p w14:paraId="39BA1384" w14:textId="10A4463A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Plan postępowań o udzielenie zamówień publicznych wraz z potwierdzeniem publikacji oraz dokumenty dotyczące aktualizacji planu.</w:t>
      </w:r>
    </w:p>
    <w:p w14:paraId="328B9455" w14:textId="34DC338B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Rejestr postępowań o udzielenie zamówień publicznych.</w:t>
      </w:r>
    </w:p>
    <w:p w14:paraId="2FC65181" w14:textId="64FFA42D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Roczne sprawozdanie o udzielonych zamówieniach publicznych.</w:t>
      </w:r>
    </w:p>
    <w:p w14:paraId="6631866C" w14:textId="7805CC71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Wewnętrzne regulacje dotyczące udzielania zamówień publicznych, w tym regulamin prac komisji przetargowej.</w:t>
      </w:r>
    </w:p>
    <w:p w14:paraId="14FEBECB" w14:textId="1F9BF38D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związana z procedurą rozpoczęcia postępowania o udzielenie zamówienia, wynikająca z wewnętrznych uregulowań KSP.</w:t>
      </w:r>
    </w:p>
    <w:p w14:paraId="0BEA3842" w14:textId="31939EE2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określająca organizację, skład, tryb pracy oraz zakres obowiązków i odpowiedzialności pracownika zamawiającego, członków komisji przetargowej, biegłych, osób wykonujących czynności w postępowaniu, kierownika zamawiającego lub osoby, której powierzył on czynności w postępowaniu.</w:t>
      </w:r>
    </w:p>
    <w:p w14:paraId="337CEC88" w14:textId="07430DFC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 xml:space="preserve">Oświadczenia o braku istnienia okoliczności, o których mowa w art. 56 ust. 2 </w:t>
      </w:r>
      <w:proofErr w:type="spellStart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Pzp</w:t>
      </w:r>
      <w:proofErr w:type="spellEnd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 xml:space="preserve"> w terminie określonym w art. 56 ust. 5 </w:t>
      </w:r>
      <w:proofErr w:type="spellStart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Pzp</w:t>
      </w:r>
      <w:proofErr w:type="spellEnd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 xml:space="preserve"> oraz o których mowa w art. 56 ust. 3 </w:t>
      </w:r>
      <w:proofErr w:type="spellStart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Pzp</w:t>
      </w:r>
      <w:proofErr w:type="spellEnd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 xml:space="preserve"> w terminie określonym w art. 56 ust. 6 </w:t>
      </w:r>
      <w:proofErr w:type="spellStart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Pzp</w:t>
      </w:r>
      <w:proofErr w:type="spellEnd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.</w:t>
      </w:r>
    </w:p>
    <w:p w14:paraId="5A8AEBDB" w14:textId="4E5C4B43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dokumentowania przebiegu postępowania o udzielenie zamówienia publicznego/zawarcia umowy ramowej.</w:t>
      </w:r>
    </w:p>
    <w:p w14:paraId="1E871138" w14:textId="68C5DB63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ustalenia wartości zamówienia.</w:t>
      </w:r>
    </w:p>
    <w:p w14:paraId="3EAC50F5" w14:textId="7696C5A1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przygotowania postępowania o udzielenie zamówienia.</w:t>
      </w:r>
    </w:p>
    <w:p w14:paraId="73AAA902" w14:textId="48D81F40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związana z wpływem, zwrotem, otwarciem i oceną ofert.</w:t>
      </w:r>
    </w:p>
    <w:p w14:paraId="7522A20B" w14:textId="5ED39F97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związana z przeprowadzeniem postępowania o udzielenie zamówienia/zawarciem umowy ramowej.</w:t>
      </w:r>
    </w:p>
    <w:p w14:paraId="4CAF64A0" w14:textId="6E57C958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w zakresie wniesienia, przechowywania, zwrotu lub zatrzymania wadium.</w:t>
      </w:r>
    </w:p>
    <w:p w14:paraId="7FB425DD" w14:textId="427034A8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w zakresie wniesienia, przechowywania, zwrotu lub zatrzymania zabezpieczenia należytego wykonania umowy.</w:t>
      </w:r>
    </w:p>
    <w:p w14:paraId="3D1D8406" w14:textId="70106A47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w zakresie udzielenia zamówienia publicznego.</w:t>
      </w:r>
    </w:p>
    <w:p w14:paraId="305EB405" w14:textId="3623DA11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w zakresie unieważnienia postępowania o udzielenie zamówienia publicznego.</w:t>
      </w:r>
    </w:p>
    <w:p w14:paraId="3C2CF57D" w14:textId="2BBB05F7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postępowania odwoławczego.</w:t>
      </w:r>
    </w:p>
    <w:p w14:paraId="23D295CD" w14:textId="327C33C5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aneksowania, wykonania i rozliczenia umowy o zamówienie publiczne.</w:t>
      </w:r>
    </w:p>
    <w:p w14:paraId="60C9A7B2" w14:textId="59F77CF4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finansowa, ewidencja księgowa związana z kontrolowanym postępowaniem o udzielenie zamówienia publicznego.</w:t>
      </w:r>
    </w:p>
    <w:p w14:paraId="333349C8" w14:textId="63BD2564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Dokumentacja dotycząca przeprowadzonych kontroli w zakresie tematyki zamówień publicznych</w:t>
      </w:r>
      <w:r>
        <w:rPr>
          <w:rStyle w:val="FontStyle16"/>
          <w:rFonts w:ascii="Arial" w:eastAsiaTheme="majorEastAsia" w:hAnsi="Arial" w:cs="Arial"/>
          <w:sz w:val="24"/>
          <w:szCs w:val="24"/>
        </w:rPr>
        <w:t>.</w:t>
      </w:r>
    </w:p>
    <w:p w14:paraId="51A249A2" w14:textId="235E27B8" w:rsidR="005B1C7A" w:rsidRPr="009657B7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 xml:space="preserve">Dokumentacja dotycząca powierzenia przez kierownika zamawiającego wykonywania zastrzeżonych dla niego czynności (upoważnienia), zakresy </w:t>
      </w: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lastRenderedPageBreak/>
        <w:t>obowiązków i odpowiedzialności osób wykonujących kontrolowane zadania oraz karty opisu stanowiska pracy, opisy stanowiska pracy.</w:t>
      </w:r>
    </w:p>
    <w:p w14:paraId="5CDE005F" w14:textId="3B039197" w:rsidR="005B1C7A" w:rsidRPr="00D704F4" w:rsidRDefault="005B1C7A" w:rsidP="000B0D00">
      <w:pPr>
        <w:pStyle w:val="Style7"/>
        <w:widowControl/>
        <w:numPr>
          <w:ilvl w:val="0"/>
          <w:numId w:val="7"/>
        </w:numPr>
        <w:tabs>
          <w:tab w:val="left" w:pos="226"/>
        </w:tabs>
        <w:spacing w:line="276" w:lineRule="auto"/>
        <w:rPr>
          <w:rFonts w:ascii="Arial" w:eastAsiaTheme="majorEastAsia" w:hAnsi="Arial" w:cs="Arial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Polityka bezpieczeństwa informacji/RODO.</w:t>
      </w:r>
    </w:p>
    <w:p w14:paraId="4AB1BA24" w14:textId="47552DA2" w:rsidR="00D704F4" w:rsidRPr="000B0D00" w:rsidRDefault="005B1C7A" w:rsidP="000B0D00">
      <w:pPr>
        <w:pStyle w:val="Style3"/>
        <w:widowControl/>
        <w:numPr>
          <w:ilvl w:val="0"/>
          <w:numId w:val="8"/>
        </w:numPr>
        <w:spacing w:before="221"/>
        <w:ind w:left="284" w:hanging="142"/>
        <w:rPr>
          <w:rStyle w:val="FontStyle16"/>
          <w:rFonts w:ascii="Arial" w:eastAsiaTheme="majorEastAsia" w:hAnsi="Arial" w:cs="Arial"/>
          <w:b/>
          <w:sz w:val="24"/>
          <w:szCs w:val="24"/>
        </w:rPr>
      </w:pPr>
      <w:r w:rsidRPr="000B0D00">
        <w:rPr>
          <w:rStyle w:val="FontStyle16"/>
          <w:rFonts w:ascii="Arial" w:eastAsiaTheme="majorEastAsia" w:hAnsi="Arial" w:cs="Arial"/>
          <w:b/>
          <w:sz w:val="24"/>
          <w:szCs w:val="24"/>
        </w:rPr>
        <w:t xml:space="preserve">Informacje o kontroli udzielania zamówień przez Prezesa Urzędu Zamówień Publicznych lub </w:t>
      </w:r>
      <w:r w:rsidRPr="000B0D00">
        <w:rPr>
          <w:rStyle w:val="FontStyle17"/>
          <w:rFonts w:ascii="Arial" w:eastAsiaTheme="majorEastAsia" w:hAnsi="Arial" w:cs="Arial"/>
          <w:sz w:val="24"/>
          <w:szCs w:val="24"/>
        </w:rPr>
        <w:t>inny</w:t>
      </w:r>
      <w:r w:rsidRPr="000B0D00">
        <w:rPr>
          <w:rStyle w:val="FontStyle17"/>
          <w:rFonts w:ascii="Arial" w:eastAsiaTheme="majorEastAsia" w:hAnsi="Arial" w:cs="Arial"/>
          <w:b w:val="0"/>
          <w:sz w:val="24"/>
          <w:szCs w:val="24"/>
        </w:rPr>
        <w:t xml:space="preserve"> </w:t>
      </w:r>
      <w:r w:rsidRPr="000B0D00">
        <w:rPr>
          <w:rStyle w:val="FontStyle16"/>
          <w:rFonts w:ascii="Arial" w:eastAsiaTheme="majorEastAsia" w:hAnsi="Arial" w:cs="Arial"/>
          <w:b/>
          <w:sz w:val="24"/>
          <w:szCs w:val="24"/>
        </w:rPr>
        <w:t>organ kontroli:</w:t>
      </w:r>
    </w:p>
    <w:p w14:paraId="738B554E" w14:textId="77777777" w:rsidR="00D704F4" w:rsidRDefault="00D704F4" w:rsidP="000B0D00">
      <w:pPr>
        <w:pStyle w:val="Style6"/>
        <w:widowControl/>
        <w:tabs>
          <w:tab w:val="left" w:leader="underscore" w:pos="10277"/>
        </w:tabs>
        <w:spacing w:line="276" w:lineRule="auto"/>
        <w:jc w:val="left"/>
        <w:rPr>
          <w:rStyle w:val="FontStyle16"/>
          <w:rFonts w:ascii="Arial" w:eastAsiaTheme="majorEastAsia" w:hAnsi="Arial" w:cs="Arial"/>
          <w:sz w:val="24"/>
          <w:szCs w:val="24"/>
        </w:rPr>
      </w:pPr>
    </w:p>
    <w:p w14:paraId="14F3C52C" w14:textId="2E33FE0C" w:rsidR="005B1C7A" w:rsidRDefault="005B1C7A" w:rsidP="000B0D00">
      <w:pPr>
        <w:pStyle w:val="Style6"/>
        <w:widowControl/>
        <w:tabs>
          <w:tab w:val="left" w:leader="underscore" w:pos="10277"/>
        </w:tabs>
        <w:spacing w:line="276" w:lineRule="auto"/>
        <w:jc w:val="left"/>
        <w:rPr>
          <w:rStyle w:val="FontStyle16"/>
          <w:rFonts w:ascii="Arial" w:eastAsiaTheme="majorEastAsia" w:hAnsi="Arial" w:cs="Arial"/>
          <w:sz w:val="24"/>
          <w:szCs w:val="24"/>
        </w:rPr>
      </w:pPr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 xml:space="preserve">Dokumenty potwierdzające przeprowadzenie kontroli, w szczególności: wystąpienia pokontrolne, sprawozdania z kontroli, informacje o wyniku kontroli*, raporty, protokoły lub inne dokumenty potwierdzające zakończenie kontroli, zawierające informacje </w:t>
      </w:r>
      <w:bookmarkStart w:id="0" w:name="_GoBack"/>
      <w:bookmarkEnd w:id="0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 xml:space="preserve">o wystąpieniu lub braku wystąpienia naruszeń, nieprawidłowości w przeprowadzonych postępowaniach lub zastosowaniu szczególnych instrumentów i procedur albo niezastosowaniu przepisów </w:t>
      </w:r>
      <w:proofErr w:type="spellStart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Pzp</w:t>
      </w:r>
      <w:proofErr w:type="spellEnd"/>
      <w:r w:rsidRPr="009657B7">
        <w:rPr>
          <w:rStyle w:val="FontStyle16"/>
          <w:rFonts w:ascii="Arial" w:eastAsiaTheme="majorEastAsia" w:hAnsi="Arial" w:cs="Arial"/>
          <w:sz w:val="24"/>
          <w:szCs w:val="24"/>
        </w:rPr>
        <w:t>.</w:t>
      </w:r>
    </w:p>
    <w:p w14:paraId="1A86392B" w14:textId="77777777" w:rsidR="00D704F4" w:rsidRPr="009657B7" w:rsidRDefault="00D704F4" w:rsidP="00D704F4">
      <w:pPr>
        <w:pStyle w:val="Style6"/>
        <w:widowControl/>
        <w:tabs>
          <w:tab w:val="left" w:leader="underscore" w:pos="10277"/>
        </w:tabs>
        <w:spacing w:line="276" w:lineRule="auto"/>
        <w:rPr>
          <w:rStyle w:val="FontStyle16"/>
          <w:rFonts w:ascii="Arial" w:eastAsiaTheme="majorEastAsia" w:hAnsi="Arial" w:cs="Arial"/>
          <w:sz w:val="24"/>
          <w:szCs w:val="24"/>
        </w:rPr>
      </w:pPr>
    </w:p>
    <w:p w14:paraId="7E5A26D6" w14:textId="77777777" w:rsidR="00241664" w:rsidRPr="006C3F37" w:rsidRDefault="00241664" w:rsidP="00241664">
      <w:pPr>
        <w:tabs>
          <w:tab w:val="left" w:pos="312"/>
        </w:tabs>
        <w:autoSpaceDE w:val="0"/>
        <w:autoSpaceDN w:val="0"/>
        <w:adjustRightInd w:val="0"/>
        <w:spacing w:after="0" w:line="276" w:lineRule="auto"/>
        <w:ind w:left="-149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D9409EF" w14:textId="3A6680AE" w:rsidR="001B4941" w:rsidRDefault="005B1C7A">
      <w:r w:rsidRPr="006C3F37"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  <w14:ligatures w14:val="none"/>
        </w:rPr>
        <w:t xml:space="preserve">* </w:t>
      </w:r>
      <w:r w:rsidRPr="006C3F37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Informacja powinna zostać udzielona odrębnym pismem opatrzonym podpisem kierownika kontrolowanej jednostki.</w:t>
      </w:r>
    </w:p>
    <w:sectPr w:rsidR="001B4941" w:rsidSect="00D704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BD3A" w14:textId="77777777" w:rsidR="00F468C2" w:rsidRDefault="00F468C2" w:rsidP="005B1C7A">
      <w:pPr>
        <w:spacing w:after="0" w:line="240" w:lineRule="auto"/>
      </w:pPr>
      <w:r>
        <w:separator/>
      </w:r>
    </w:p>
  </w:endnote>
  <w:endnote w:type="continuationSeparator" w:id="0">
    <w:p w14:paraId="2B045811" w14:textId="77777777" w:rsidR="00F468C2" w:rsidRDefault="00F468C2" w:rsidP="005B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6A1FA" w14:textId="77777777" w:rsidR="00F468C2" w:rsidRDefault="00F468C2" w:rsidP="005B1C7A">
      <w:pPr>
        <w:spacing w:after="0" w:line="240" w:lineRule="auto"/>
      </w:pPr>
      <w:r>
        <w:separator/>
      </w:r>
    </w:p>
  </w:footnote>
  <w:footnote w:type="continuationSeparator" w:id="0">
    <w:p w14:paraId="11C38C50" w14:textId="77777777" w:rsidR="00F468C2" w:rsidRDefault="00F468C2" w:rsidP="005B1C7A">
      <w:pPr>
        <w:spacing w:after="0" w:line="240" w:lineRule="auto"/>
      </w:pPr>
      <w:r>
        <w:continuationSeparator/>
      </w:r>
    </w:p>
  </w:footnote>
  <w:footnote w:id="1">
    <w:p w14:paraId="083F029C" w14:textId="08E9377E" w:rsidR="0063435F" w:rsidRDefault="005B1C7A" w:rsidP="005B1C7A">
      <w:pPr>
        <w:pStyle w:val="Tekstprzypisudolnego"/>
        <w:rPr>
          <w:rStyle w:val="FontStyle18"/>
          <w:b w:val="0"/>
          <w:sz w:val="16"/>
          <w:szCs w:val="16"/>
        </w:rPr>
      </w:pPr>
      <w:r w:rsidRPr="002F21E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F21EE">
        <w:rPr>
          <w:rFonts w:ascii="Calibri" w:hAnsi="Calibri" w:cs="Calibri"/>
          <w:b/>
          <w:sz w:val="16"/>
          <w:szCs w:val="16"/>
        </w:rPr>
        <w:t xml:space="preserve"> </w:t>
      </w:r>
      <w:r w:rsidRPr="006921AC">
        <w:rPr>
          <w:rStyle w:val="FontStyle18"/>
          <w:b w:val="0"/>
          <w:sz w:val="16"/>
          <w:szCs w:val="16"/>
        </w:rPr>
        <w:t>Zakres kontroli i zagadnienia wymagające oceny są każdorazowo określane w dokumentacji wymaganej w przepisach ustawy z dnia 15 lipca 2011 r.</w:t>
      </w:r>
    </w:p>
    <w:p w14:paraId="58C6C15C" w14:textId="4D913F8E" w:rsidR="005B1C7A" w:rsidRPr="002F21EE" w:rsidRDefault="0063435F" w:rsidP="005B1C7A">
      <w:pPr>
        <w:pStyle w:val="Tekstprzypisudolnego"/>
        <w:rPr>
          <w:rFonts w:ascii="Calibri" w:hAnsi="Calibri" w:cs="Calibri"/>
          <w:b/>
          <w:sz w:val="16"/>
          <w:szCs w:val="16"/>
        </w:rPr>
      </w:pPr>
      <w:r>
        <w:rPr>
          <w:rStyle w:val="FontStyle18"/>
          <w:b w:val="0"/>
          <w:sz w:val="16"/>
          <w:szCs w:val="16"/>
        </w:rPr>
        <w:t xml:space="preserve">  </w:t>
      </w:r>
      <w:r w:rsidR="005B1C7A" w:rsidRPr="006921AC">
        <w:rPr>
          <w:rStyle w:val="FontStyle18"/>
          <w:b w:val="0"/>
          <w:sz w:val="16"/>
          <w:szCs w:val="16"/>
        </w:rPr>
        <w:t xml:space="preserve">o </w:t>
      </w:r>
      <w:r w:rsidR="005B1C7A" w:rsidRPr="006921AC">
        <w:rPr>
          <w:rStyle w:val="FontStyle19"/>
          <w:sz w:val="16"/>
          <w:szCs w:val="16"/>
        </w:rPr>
        <w:t>kontroli w administracji rządowej</w:t>
      </w:r>
      <w:r w:rsidR="005B1C7A" w:rsidRPr="006921AC">
        <w:rPr>
          <w:rStyle w:val="FontStyle19"/>
          <w:b/>
          <w:sz w:val="16"/>
          <w:szCs w:val="16"/>
        </w:rPr>
        <w:t xml:space="preserve"> </w:t>
      </w:r>
      <w:r w:rsidR="005B1C7A" w:rsidRPr="006921AC">
        <w:rPr>
          <w:rStyle w:val="FontStyle18"/>
          <w:b w:val="0"/>
          <w:sz w:val="16"/>
          <w:szCs w:val="16"/>
        </w:rPr>
        <w:t>(tj. Dz. U. z 2020 r. poz. 224).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12E"/>
    <w:multiLevelType w:val="hybridMultilevel"/>
    <w:tmpl w:val="7644AD8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AF00B8"/>
    <w:multiLevelType w:val="hybridMultilevel"/>
    <w:tmpl w:val="F2C4D9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694614"/>
    <w:multiLevelType w:val="hybridMultilevel"/>
    <w:tmpl w:val="D7A0C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5EE6"/>
    <w:multiLevelType w:val="hybridMultilevel"/>
    <w:tmpl w:val="7FFC65BC"/>
    <w:lvl w:ilvl="0" w:tplc="469A0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66EF3"/>
    <w:multiLevelType w:val="hybridMultilevel"/>
    <w:tmpl w:val="19B491FA"/>
    <w:lvl w:ilvl="0" w:tplc="945AD264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61325D"/>
    <w:multiLevelType w:val="singleLevel"/>
    <w:tmpl w:val="110A0A3A"/>
    <w:lvl w:ilvl="0">
      <w:start w:val="13"/>
      <w:numFmt w:val="decimal"/>
      <w:lvlText w:val="%1."/>
      <w:legacy w:legacy="1" w:legacySpace="0" w:legacyIndent="298"/>
      <w:lvlJc w:val="left"/>
      <w:rPr>
        <w:rFonts w:ascii="Calibri" w:hAnsi="Calibri" w:cs="Calibri" w:hint="default"/>
      </w:rPr>
    </w:lvl>
  </w:abstractNum>
  <w:abstractNum w:abstractNumId="6" w15:restartNumberingAfterBreak="0">
    <w:nsid w:val="71B46791"/>
    <w:multiLevelType w:val="hybridMultilevel"/>
    <w:tmpl w:val="F77E5A56"/>
    <w:lvl w:ilvl="0" w:tplc="04150017">
      <w:start w:val="1"/>
      <w:numFmt w:val="lowerLetter"/>
      <w:lvlText w:val="%1)"/>
      <w:lvlJc w:val="left"/>
      <w:pPr>
        <w:ind w:left="1022" w:hanging="360"/>
      </w:pPr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7" w15:restartNumberingAfterBreak="0">
    <w:nsid w:val="7B59616A"/>
    <w:multiLevelType w:val="hybridMultilevel"/>
    <w:tmpl w:val="EE68CD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lvl w:ilvl="0">
        <w:start w:val="13"/>
        <w:numFmt w:val="decimal"/>
        <w:lvlText w:val="%1."/>
        <w:legacy w:legacy="1" w:legacySpace="0" w:legacyIndent="293"/>
        <w:lvlJc w:val="left"/>
        <w:rPr>
          <w:rFonts w:ascii="Arial" w:hAnsi="Arial" w:cs="Arial" w:hint="default"/>
          <w:b w:val="0"/>
        </w:rPr>
      </w:lvl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64"/>
    <w:rsid w:val="0005144C"/>
    <w:rsid w:val="000B0D00"/>
    <w:rsid w:val="001B36DA"/>
    <w:rsid w:val="001B4941"/>
    <w:rsid w:val="00241664"/>
    <w:rsid w:val="00273F35"/>
    <w:rsid w:val="00315A5D"/>
    <w:rsid w:val="00391B0C"/>
    <w:rsid w:val="004C6C5A"/>
    <w:rsid w:val="00517E82"/>
    <w:rsid w:val="005B1C7A"/>
    <w:rsid w:val="0063435F"/>
    <w:rsid w:val="00734F97"/>
    <w:rsid w:val="00814524"/>
    <w:rsid w:val="00901FA5"/>
    <w:rsid w:val="00D704F4"/>
    <w:rsid w:val="00DC6BF4"/>
    <w:rsid w:val="00EA077B"/>
    <w:rsid w:val="00EF2FCD"/>
    <w:rsid w:val="00F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E7A8"/>
  <w15:chartTrackingRefBased/>
  <w15:docId w15:val="{55BB5070-83AD-4D95-A9E1-4D664CE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664"/>
  </w:style>
  <w:style w:type="paragraph" w:styleId="Nagwek1">
    <w:name w:val="heading 1"/>
    <w:basedOn w:val="Normalny"/>
    <w:next w:val="Normalny"/>
    <w:link w:val="Nagwek1Znak"/>
    <w:uiPriority w:val="9"/>
    <w:qFormat/>
    <w:rsid w:val="00241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6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6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6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6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6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6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6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16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6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6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664"/>
    <w:rPr>
      <w:b/>
      <w:bCs/>
      <w:smallCaps/>
      <w:color w:val="0F4761" w:themeColor="accent1" w:themeShade="BF"/>
      <w:spacing w:val="5"/>
    </w:rPr>
  </w:style>
  <w:style w:type="paragraph" w:customStyle="1" w:styleId="Style7">
    <w:name w:val="Style7"/>
    <w:basedOn w:val="Normalny"/>
    <w:uiPriority w:val="99"/>
    <w:rsid w:val="005B1C7A"/>
    <w:pPr>
      <w:widowControl w:val="0"/>
      <w:autoSpaceDE w:val="0"/>
      <w:autoSpaceDN w:val="0"/>
      <w:adjustRightInd w:val="0"/>
      <w:spacing w:after="0" w:line="274" w:lineRule="exact"/>
      <w:ind w:hanging="298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16">
    <w:name w:val="Font Style16"/>
    <w:uiPriority w:val="99"/>
    <w:rsid w:val="005B1C7A"/>
    <w:rPr>
      <w:rFonts w:ascii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C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C7A"/>
    <w:rPr>
      <w:sz w:val="20"/>
      <w:szCs w:val="20"/>
    </w:rPr>
  </w:style>
  <w:style w:type="character" w:customStyle="1" w:styleId="FontStyle18">
    <w:name w:val="Font Style18"/>
    <w:uiPriority w:val="99"/>
    <w:rsid w:val="005B1C7A"/>
    <w:rPr>
      <w:rFonts w:ascii="Calibri" w:hAnsi="Calibri" w:cs="Calibri"/>
      <w:b/>
      <w:bCs/>
      <w:sz w:val="18"/>
      <w:szCs w:val="18"/>
    </w:rPr>
  </w:style>
  <w:style w:type="character" w:customStyle="1" w:styleId="FontStyle19">
    <w:name w:val="Font Style19"/>
    <w:uiPriority w:val="99"/>
    <w:rsid w:val="005B1C7A"/>
    <w:rPr>
      <w:rFonts w:ascii="Calibri" w:hAnsi="Calibri" w:cs="Calibri"/>
      <w:i/>
      <w:iCs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5B1C7A"/>
    <w:rPr>
      <w:vertAlign w:val="superscript"/>
    </w:rPr>
  </w:style>
  <w:style w:type="paragraph" w:customStyle="1" w:styleId="Style12">
    <w:name w:val="Style12"/>
    <w:basedOn w:val="Normalny"/>
    <w:uiPriority w:val="99"/>
    <w:rsid w:val="005B1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17">
    <w:name w:val="Font Style17"/>
    <w:uiPriority w:val="99"/>
    <w:rsid w:val="005B1C7A"/>
    <w:rPr>
      <w:rFonts w:ascii="Calibri" w:hAnsi="Calibri" w:cs="Calibri"/>
      <w:b/>
      <w:bCs/>
      <w:sz w:val="22"/>
      <w:szCs w:val="22"/>
    </w:rPr>
  </w:style>
  <w:style w:type="paragraph" w:customStyle="1" w:styleId="Style6">
    <w:name w:val="Style6"/>
    <w:basedOn w:val="Normalny"/>
    <w:uiPriority w:val="99"/>
    <w:rsid w:val="005B1C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yle3">
    <w:name w:val="Style3"/>
    <w:basedOn w:val="Normalny"/>
    <w:uiPriority w:val="99"/>
    <w:rsid w:val="005B1C7A"/>
    <w:pPr>
      <w:widowControl w:val="0"/>
      <w:autoSpaceDE w:val="0"/>
      <w:autoSpaceDN w:val="0"/>
      <w:adjustRightInd w:val="0"/>
      <w:spacing w:after="0" w:line="288" w:lineRule="exact"/>
      <w:ind w:hanging="566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 Marek</dc:creator>
  <cp:keywords/>
  <dc:description/>
  <cp:lastModifiedBy>Elżbieta Sandecka-Pultowicz</cp:lastModifiedBy>
  <cp:revision>4</cp:revision>
  <cp:lastPrinted>2024-12-17T10:34:00Z</cp:lastPrinted>
  <dcterms:created xsi:type="dcterms:W3CDTF">2024-12-13T13:14:00Z</dcterms:created>
  <dcterms:modified xsi:type="dcterms:W3CDTF">2024-12-18T08:03:00Z</dcterms:modified>
</cp:coreProperties>
</file>