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7A" w:rsidRPr="005B1C7A" w:rsidRDefault="005B1C7A" w:rsidP="005B1C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5B1C7A">
        <w:rPr>
          <w:rFonts w:ascii="Arial" w:eastAsia="Times New Roman" w:hAnsi="Arial" w:cs="Arial"/>
          <w:b/>
          <w:bCs/>
          <w:kern w:val="0"/>
          <w:lang w:eastAsia="pl-PL"/>
        </w:rPr>
        <w:t>WZÓR</w:t>
      </w:r>
    </w:p>
    <w:p w:rsidR="005B1C7A" w:rsidRPr="005B1C7A" w:rsidRDefault="005B1C7A" w:rsidP="005B1C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5B1C7A">
        <w:rPr>
          <w:rFonts w:ascii="Arial" w:eastAsia="Times New Roman" w:hAnsi="Arial" w:cs="Arial"/>
          <w:b/>
          <w:bCs/>
          <w:kern w:val="0"/>
          <w:lang w:eastAsia="pl-PL"/>
        </w:rPr>
        <w:t>KWESTIONARIUSZA KONTROLI UDZIELANIA ZAMÓWIEŃ PUBLICZNYCH</w:t>
      </w:r>
    </w:p>
    <w:p w:rsidR="005B1C7A" w:rsidRDefault="005B1C7A" w:rsidP="005B1C7A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</w:pPr>
      <w:r w:rsidRPr="005B1C7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(art. 599 ust. 1 ustawy z dnia 11 września 2019 r. </w:t>
      </w:r>
      <w:r w:rsidRPr="005B1C7A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</w:rPr>
        <w:t>Prawo</w:t>
      </w:r>
      <w:r w:rsidRPr="005B1C7A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</w:rPr>
        <w:t xml:space="preserve"> </w:t>
      </w:r>
      <w:r w:rsidRPr="005B1C7A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</w:rPr>
        <w:t>zamówień publicznych</w:t>
      </w:r>
      <w:r w:rsidRPr="005B1C7A"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  <w:t xml:space="preserve"> - dalej: Pzp)</w:t>
      </w:r>
      <w:r w:rsidRPr="005B1C7A">
        <w:rPr>
          <w:rFonts w:ascii="Arial" w:eastAsia="Times New Roman" w:hAnsi="Arial" w:cs="Arial"/>
          <w:iCs/>
          <w:kern w:val="0"/>
          <w:sz w:val="20"/>
          <w:szCs w:val="20"/>
          <w:vertAlign w:val="superscript"/>
          <w:lang w:eastAsia="pl-PL"/>
        </w:rPr>
        <w:footnoteReference w:id="1"/>
      </w:r>
    </w:p>
    <w:p w:rsidR="00D704F4" w:rsidRDefault="00D704F4" w:rsidP="005B1C7A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</w:pPr>
    </w:p>
    <w:p w:rsidR="00391B0C" w:rsidRPr="005B1C7A" w:rsidRDefault="00391B0C" w:rsidP="005B1C7A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</w:pPr>
    </w:p>
    <w:p w:rsidR="00D704F4" w:rsidRPr="000B0D00" w:rsidRDefault="00D704F4" w:rsidP="00D704F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Times New Roman" w:hAnsi="Arial" w:cs="Arial"/>
          <w:b/>
          <w:kern w:val="0"/>
          <w:lang w:eastAsia="pl-PL"/>
        </w:rPr>
      </w:pPr>
      <w:r w:rsidRPr="000B0D00">
        <w:rPr>
          <w:rFonts w:ascii="Arial" w:eastAsia="Times New Roman" w:hAnsi="Arial" w:cs="Arial"/>
          <w:b/>
          <w:kern w:val="0"/>
          <w:lang w:eastAsia="pl-PL"/>
        </w:rPr>
        <w:t>Zagadnienia podlegające sprawdzeniu w toku kontroli:</w:t>
      </w:r>
    </w:p>
    <w:p w:rsidR="00241664" w:rsidRDefault="00241664" w:rsidP="002416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Organizacja w Komendzie Stołecznej Policji procesu udzielania zamówień publicznych oraz wewnętrzne regulacje w tym zakresie.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Planowanie zamówień publicznych i prowadzenie rejestru/ewidencji zamówień publicznych oraz sporządzanie sprawozdań z tego zakresu.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Zasadność zastosowania przepisów Pzp do udzielenia kontrolowanego zamówienia.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Wyłączenia podmiotowe i przedmiotowe ze stosowania przepisów Pzp.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dokonania wyboru procedury zgodnie z przepisami Działu II, III, IV, V, VI Pzp.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zastosowania przepisów Pzp do zamówień o charakterze mieszanym.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Zgodność sposobu ustalenia wartości zamówienia oraz szczególnych instrumentów i procedur z przepisami Pzp.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wykonania czynności przez osoby którym kierownik zamawiającego powierzył wykonanie zastrzeżonych dla niego czynności i przez osoby którym powierzono czynności w postępowaniu oraz czynności związane z przygotowaniem postępowania, a także przez komisję przetargową.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Uwzględnienie aspektów społecznych.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zastosowania przepisów Pzp o komunikacji zamawiającego z wykonawcami.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Zgodność sposobu dokumentowania przebiegu postępowania o udzielenie zamówienia, konkursu, umowy ramowej, zmiany umowy lub umowy ramowej z przepisami Pzp.</w:t>
      </w:r>
    </w:p>
    <w:p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Przygotowanie i przeprowadzenie postępowania oraz udzielenie zamówienia o wartości równej lub przekraczającej progi unijne, w tym: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przygotowania postępowania o udzielenie zamówienia,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zasadność podziału zamówienia na części,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badanie wystąpienia konfliktu interesów,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stosowanie przepisów Pzp dotyczących ogłoszeń,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ustalenia warunków zamówienia zgodnie z treścią przepisów zawartych w Dziale II Rozdziale 2 Pzp,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dokonania opisu przedmiotu zamówienia,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 xml:space="preserve">zasadność zastosowanych wymogów i dokonanych lub zaniechanych czynności w odniesieniu do przedmiotowych środków dowodowych, 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wykluczenia; zaniechanie wykluczenia wykonawcy z postępowania,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lastRenderedPageBreak/>
        <w:t>wyjaśnienia i zmiany SWZ,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ustalenia kryteriów oceny ofert,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ustalenia terminów w postępowaniu,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określenia formy i terminu wniesienia wadium oraz zabezpieczenia należytego wykonania umowy oraz prawidłowość postępowania z wadium i zabezpieczeniem należytego wykonania umowy,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zastosowania przepisów dotyczących udostępniania zasobów,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zasadność zastosowanych wymogów i dokonanych lub zaniechanych czynności w odniesieniu do podmiotowych środków dowodowych oraz oświadczenia, o którym mowa w art. 125 ust. 1 Pzp,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zastosowanie przepisów Pzp dotyczących składania, otwarcia, badania i oceny ofert,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dopuszczalność i prawidłowość zastosowania aukcji elektronicznej,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dokonanie wyboru najkorzystniejszej oferty zgodnie z przepisami Pzp,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unieważnienia postępowania; zaniechanie unieważnienia postępowania,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zadośćuczynienie obowiązkom informacyjnym względem wykonawców w związku z dokonywanymi czynnościami,</w:t>
      </w:r>
    </w:p>
    <w:p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241664">
        <w:rPr>
          <w:rFonts w:ascii="Arial" w:eastAsia="Times New Roman" w:hAnsi="Arial" w:cs="Arial"/>
          <w:kern w:val="0"/>
          <w:lang w:eastAsia="pl-PL"/>
        </w:rPr>
        <w:t>prawidłowość procedury zawierania umowy w sprawie zamówienia publicznego.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lang w:eastAsia="pl-PL"/>
        </w:rPr>
      </w:pPr>
      <w:r w:rsidRPr="00814524">
        <w:rPr>
          <w:rFonts w:ascii="Arial" w:eastAsia="Times New Roman" w:hAnsi="Arial" w:cs="Arial"/>
          <w:kern w:val="0"/>
          <w:lang w:eastAsia="pl-PL"/>
        </w:rPr>
        <w:t xml:space="preserve">Przygotowanie i przeprowadzenie procedury udzielenia zamówienia w zakresie postępowania o udzielenie zamówienia o wartości mniejszej niż progi unijne </w:t>
      </w:r>
      <w:r w:rsidRPr="00814524">
        <w:rPr>
          <w:rFonts w:ascii="Arial" w:eastAsia="Times New Roman" w:hAnsi="Arial" w:cs="Arial"/>
          <w:bCs/>
          <w:kern w:val="0"/>
          <w:lang w:eastAsia="pl-PL"/>
        </w:rPr>
        <w:t>(z uwzględnieniem zagadnień wskazanych w pkt 12).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lang w:eastAsia="pl-PL"/>
        </w:rPr>
      </w:pPr>
      <w:r w:rsidRPr="00814524">
        <w:rPr>
          <w:rFonts w:ascii="Arial" w:eastAsia="Times New Roman" w:hAnsi="Arial" w:cs="Arial"/>
          <w:kern w:val="0"/>
          <w:lang w:eastAsia="pl-PL"/>
        </w:rPr>
        <w:t>Prawidłowość przeprowadzenia postępowania w przedmiocie zawarcia umowy ramowej oraz udzielenia zamówienia objętego umową ramową lub zmiany umowy ramowej.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kern w:val="0"/>
          <w:lang w:eastAsia="pl-PL"/>
        </w:rPr>
        <w:t xml:space="preserve">Dopuszczalność i zgodność z prawem postępowania w celu ustanowienia dynamicznego systemu zakupów oraz prawidłowość udzielenia zamówienia objętego tym systemem </w:t>
      </w:r>
      <w:r w:rsidRPr="00814524">
        <w:rPr>
          <w:rFonts w:ascii="Arial" w:eastAsia="Times New Roman" w:hAnsi="Arial" w:cs="Arial"/>
          <w:bCs/>
          <w:kern w:val="0"/>
          <w:lang w:eastAsia="pl-PL"/>
        </w:rPr>
        <w:t>(z uwzględnieniem zagadnień wskazanych w pkt 12).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bCs/>
          <w:kern w:val="0"/>
          <w:lang w:eastAsia="pl-PL"/>
        </w:rPr>
        <w:t>Prawidłowość zastosowania przepisów Pzp w zakresie konkursu (z uwzględnieniem zagadnień wskazanych w pkt 12).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bCs/>
          <w:kern w:val="0"/>
          <w:lang w:eastAsia="pl-PL"/>
        </w:rPr>
        <w:t>Prawidłowość przeprowadzenia postępowania i udzielenia zamówienia w zakresie zamówień na usługi społeczne i inne szczególne usługi (z uwzględnieniem zagadnień wskazanych w pkt 12).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bCs/>
          <w:kern w:val="0"/>
          <w:lang w:eastAsia="pl-PL"/>
        </w:rPr>
        <w:t>Prawidłowość przeprowadzenia postępowania i udzielenia zamówienia w zakresie zamówień w dziedzinach obronności i bezpieczeństwa (z uwzględnieniem zagadnień wskazanych w pkt 12).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kern w:val="0"/>
          <w:lang w:eastAsia="pl-PL"/>
        </w:rPr>
        <w:t>Prawidłowość zastosowania przepisów Pzp o zabezpieczeniu należytego wykonania umowy w ramach przygotowania i przeprowadzenia postępowania o udzielenie zamówienia.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kern w:val="0"/>
          <w:lang w:eastAsia="pl-PL"/>
        </w:rPr>
        <w:t>Prawidłowość zastosowania przepisów Pzp o podwykonawstwie w ramach przygotowania i przeprowadzenia postępowania o udzielenie zamówienia.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kern w:val="0"/>
          <w:lang w:eastAsia="pl-PL"/>
        </w:rPr>
        <w:t>Zawarcie w umowie klauzul określonych w Pzp jako obowiązkowe.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kern w:val="0"/>
          <w:lang w:eastAsia="pl-PL"/>
        </w:rPr>
        <w:t>Zawarcie w umowie klauzul abuzywnych.</w:t>
      </w:r>
    </w:p>
    <w:p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kern w:val="0"/>
          <w:lang w:eastAsia="pl-PL"/>
        </w:rPr>
        <w:t>Prawidłowość dokonania zmiany umowy lub odstąpienia od umowy w sprawie zamówienia publicznego.</w:t>
      </w:r>
    </w:p>
    <w:p w:rsidR="00241664" w:rsidRDefault="00241664" w:rsidP="000B0D00">
      <w:pPr>
        <w:pStyle w:val="Akapitzlist"/>
        <w:numPr>
          <w:ilvl w:val="0"/>
          <w:numId w:val="4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14524">
        <w:rPr>
          <w:rFonts w:ascii="Arial" w:eastAsia="Times New Roman" w:hAnsi="Arial" w:cs="Arial"/>
          <w:kern w:val="0"/>
          <w:lang w:eastAsia="pl-PL"/>
        </w:rPr>
        <w:lastRenderedPageBreak/>
        <w:t>Prawidłowość prowadzenia dokumentacji finansowej oraz ewidencji księgowej związanej z kontrolowanym postępowaniem o udzielenie zamówienia publicznego.</w:t>
      </w:r>
    </w:p>
    <w:p w:rsidR="00391B0C" w:rsidRDefault="00391B0C" w:rsidP="000B0D00">
      <w:pPr>
        <w:tabs>
          <w:tab w:val="left" w:pos="31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:rsidR="005B1C7A" w:rsidRPr="000B0D00" w:rsidRDefault="005B1C7A" w:rsidP="000B0D00">
      <w:pPr>
        <w:pStyle w:val="Style12"/>
        <w:widowControl/>
        <w:numPr>
          <w:ilvl w:val="0"/>
          <w:numId w:val="8"/>
        </w:numPr>
        <w:spacing w:before="10"/>
        <w:ind w:left="284" w:hanging="66"/>
        <w:rPr>
          <w:rStyle w:val="FontStyle17"/>
          <w:rFonts w:ascii="Arial" w:eastAsiaTheme="majorEastAsia" w:hAnsi="Arial" w:cs="Arial"/>
          <w:sz w:val="24"/>
          <w:szCs w:val="24"/>
        </w:rPr>
      </w:pPr>
      <w:r w:rsidRPr="000B0D00">
        <w:rPr>
          <w:rStyle w:val="FontStyle17"/>
          <w:rFonts w:ascii="Arial" w:eastAsiaTheme="majorEastAsia" w:hAnsi="Arial" w:cs="Arial"/>
          <w:sz w:val="24"/>
          <w:szCs w:val="24"/>
        </w:rPr>
        <w:t xml:space="preserve">Dokumenty, których organ kontroli może żądać od zamawiającego w </w:t>
      </w:r>
      <w:r w:rsidRPr="000B0D00">
        <w:rPr>
          <w:rStyle w:val="FontStyle16"/>
          <w:rFonts w:ascii="Arial" w:eastAsiaTheme="majorEastAsia" w:hAnsi="Arial" w:cs="Arial"/>
          <w:b/>
        </w:rPr>
        <w:t>toku</w:t>
      </w:r>
      <w:r w:rsidRPr="000B0D00">
        <w:rPr>
          <w:rStyle w:val="FontStyle16"/>
          <w:rFonts w:ascii="Arial" w:eastAsiaTheme="majorEastAsia" w:hAnsi="Arial" w:cs="Arial"/>
        </w:rPr>
        <w:t xml:space="preserve"> </w:t>
      </w:r>
      <w:r w:rsidRPr="000B0D00">
        <w:rPr>
          <w:rStyle w:val="FontStyle17"/>
          <w:rFonts w:ascii="Arial" w:eastAsiaTheme="majorEastAsia" w:hAnsi="Arial" w:cs="Arial"/>
          <w:sz w:val="24"/>
          <w:szCs w:val="24"/>
        </w:rPr>
        <w:t>kontroli:</w:t>
      </w:r>
    </w:p>
    <w:p w:rsidR="005B1C7A" w:rsidRDefault="005B1C7A" w:rsidP="000B0D00">
      <w:pPr>
        <w:tabs>
          <w:tab w:val="left" w:pos="31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Plan zamówień publicznych oraz dokumentacja związana z planowaniem zamówień publicznych objętych ustawą Pzp i wyłączonych z jej stosowania.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Plan postępowań o udzielenie zamówień publicznych wraz z potwierdzeniem publikacji oraz dokumenty dotyczące aktualizacji planu.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Rejestr postępowań o udzielenie zamówień publicznych.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Roczne sprawozdanie o udzielonych zamówieniach publicznych.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Wewnętrzne regulacje dotyczące udzielania zamówień publicznych, w tym regulamin prac komisji przetargowej.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związana z procedurą rozpoczęcia postępowania o udzielenie zamówienia, wynikająca z wewnętrznych uregulowań KSP.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określająca organizację, skład, tryb pracy oraz zakres obowiązków i odpowiedzialności pracownika zamawiającego, członków komisji przetargowej, biegłych, osób wykonujących czynności w postępowaniu, kierownika zamawiającego lub osoby, której powierzył on czynności w postępowaniu.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Oświadczenia o braku istnienia okoliczności, o których mowa w art. 56 ust. 2 Pzp w terminie określonym w art. 56 ust. 5 Pzp oraz o których mowa w art. 56 ust. 3 Pzp w terminie określonym w art. 56 ust. 6 Pzp.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dokumentowania przebiegu postępowania o udzielenie zamówienia publicznego/zawarcia umowy ramowej.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ustalenia wartości zamówienia.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przygotowania postępowania o udzielenie zamówienia.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związana z wpływem, zwrotem, otwarciem i oceną ofert.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związana z przeprowadzeniem postępowania o udzielenie zamówienia/zawarciem umowy ramowej.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w zakresie wniesienia, przechowywania, zwrotu lub zatrzymania wadium.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w zakresie wniesienia, przechowywania, zwrotu lub zatrzymania zabezpieczenia należytego wykonania umowy.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w zakresie udzielenia zamówienia publicznego.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w zakresie unieważnienia postępowania o udzielenie zamówienia publicznego.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postępowania odwoławczego.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aneksowania, wykonania i rozliczenia umowy o zamówienie publiczne.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finansowa, ewidencja księgowa związana z kontrolowanym postępowaniem o udzielenie zamówienia publicznego.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przeprowadzonych kontroli w zakresie tematyki zamówień publicznych</w:t>
      </w:r>
      <w:r>
        <w:rPr>
          <w:rStyle w:val="FontStyle16"/>
          <w:rFonts w:ascii="Arial" w:eastAsiaTheme="majorEastAsia" w:hAnsi="Arial" w:cs="Arial"/>
          <w:sz w:val="24"/>
          <w:szCs w:val="24"/>
        </w:rPr>
        <w:t>.</w:t>
      </w:r>
    </w:p>
    <w:p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Dokumentacja dotycząca powierzenia przez kierownika zamawiającego wykonywania zastrzeżonych dla niego czynności (upoważnienia), zakresy </w:t>
      </w: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lastRenderedPageBreak/>
        <w:t>obowiązków i odpowiedzialności osób wykonujących kontrolowane zadania oraz karty opisu stanowiska pracy, opisy stanowiska pracy.</w:t>
      </w:r>
    </w:p>
    <w:p w:rsidR="005B1C7A" w:rsidRPr="00D704F4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Fonts w:ascii="Arial" w:eastAsiaTheme="majorEastAsia" w:hAnsi="Arial" w:cs="Arial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Polityka bezpieczeństwa informacji/RODO.</w:t>
      </w:r>
    </w:p>
    <w:p w:rsidR="00D704F4" w:rsidRPr="000B0D00" w:rsidRDefault="005B1C7A" w:rsidP="000B0D00">
      <w:pPr>
        <w:pStyle w:val="Style3"/>
        <w:widowControl/>
        <w:numPr>
          <w:ilvl w:val="0"/>
          <w:numId w:val="8"/>
        </w:numPr>
        <w:spacing w:before="221"/>
        <w:ind w:left="284" w:hanging="142"/>
        <w:rPr>
          <w:rStyle w:val="FontStyle16"/>
          <w:rFonts w:ascii="Arial" w:eastAsiaTheme="majorEastAsia" w:hAnsi="Arial" w:cs="Arial"/>
          <w:b/>
          <w:sz w:val="24"/>
          <w:szCs w:val="24"/>
        </w:rPr>
      </w:pPr>
      <w:r w:rsidRPr="000B0D00">
        <w:rPr>
          <w:rStyle w:val="FontStyle16"/>
          <w:rFonts w:ascii="Arial" w:eastAsiaTheme="majorEastAsia" w:hAnsi="Arial" w:cs="Arial"/>
          <w:b/>
          <w:sz w:val="24"/>
          <w:szCs w:val="24"/>
        </w:rPr>
        <w:t xml:space="preserve">Informacje o kontroli udzielania zamówień przez Prezesa Urzędu Zamówień Publicznych lub </w:t>
      </w:r>
      <w:r w:rsidRPr="000B0D00">
        <w:rPr>
          <w:rStyle w:val="FontStyle17"/>
          <w:rFonts w:ascii="Arial" w:eastAsiaTheme="majorEastAsia" w:hAnsi="Arial" w:cs="Arial"/>
          <w:sz w:val="24"/>
          <w:szCs w:val="24"/>
        </w:rPr>
        <w:t>inny</w:t>
      </w:r>
      <w:r w:rsidRPr="000B0D00">
        <w:rPr>
          <w:rStyle w:val="FontStyle17"/>
          <w:rFonts w:ascii="Arial" w:eastAsiaTheme="majorEastAsia" w:hAnsi="Arial" w:cs="Arial"/>
          <w:b w:val="0"/>
          <w:sz w:val="24"/>
          <w:szCs w:val="24"/>
        </w:rPr>
        <w:t xml:space="preserve"> </w:t>
      </w:r>
      <w:r w:rsidRPr="000B0D00">
        <w:rPr>
          <w:rStyle w:val="FontStyle16"/>
          <w:rFonts w:ascii="Arial" w:eastAsiaTheme="majorEastAsia" w:hAnsi="Arial" w:cs="Arial"/>
          <w:b/>
          <w:sz w:val="24"/>
          <w:szCs w:val="24"/>
        </w:rPr>
        <w:t>organ kontroli:</w:t>
      </w:r>
    </w:p>
    <w:p w:rsidR="00D704F4" w:rsidRDefault="00D704F4" w:rsidP="000B0D00">
      <w:pPr>
        <w:pStyle w:val="Style6"/>
        <w:widowControl/>
        <w:tabs>
          <w:tab w:val="left" w:leader="underscore" w:pos="10277"/>
        </w:tabs>
        <w:spacing w:line="276" w:lineRule="auto"/>
        <w:jc w:val="left"/>
        <w:rPr>
          <w:rStyle w:val="FontStyle16"/>
          <w:rFonts w:ascii="Arial" w:eastAsiaTheme="majorEastAsia" w:hAnsi="Arial" w:cs="Arial"/>
          <w:sz w:val="24"/>
          <w:szCs w:val="24"/>
        </w:rPr>
      </w:pPr>
    </w:p>
    <w:p w:rsidR="005B1C7A" w:rsidRDefault="005B1C7A" w:rsidP="000B0D00">
      <w:pPr>
        <w:pStyle w:val="Style6"/>
        <w:widowControl/>
        <w:tabs>
          <w:tab w:val="left" w:leader="underscore" w:pos="10277"/>
        </w:tabs>
        <w:spacing w:line="276" w:lineRule="auto"/>
        <w:jc w:val="left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Dokumenty potwierdzające przeprowadzenie kontroli, w szczególności: wystąpienia pokontrolne, sprawozdania z kontroli, informacje o wyniku kontroli*, raporty, protokoły lub inne dokumenty potwierdzające zakończenie kontroli, zawierające informacje </w:t>
      </w:r>
      <w:bookmarkStart w:id="0" w:name="_GoBack"/>
      <w:bookmarkEnd w:id="0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o wystąpieniu lub braku wystąpienia naruszeń, nieprawidłowości w przeprowadzonych postępowaniach lub zastosowaniu szczególnych instrumentów i procedur albo niezastosowaniu przepisów Pzp.</w:t>
      </w:r>
    </w:p>
    <w:p w:rsidR="00D704F4" w:rsidRPr="009657B7" w:rsidRDefault="00D704F4" w:rsidP="00D704F4">
      <w:pPr>
        <w:pStyle w:val="Style6"/>
        <w:widowControl/>
        <w:tabs>
          <w:tab w:val="left" w:leader="underscore" w:pos="10277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</w:p>
    <w:p w:rsidR="00241664" w:rsidRPr="006C3F37" w:rsidRDefault="00241664" w:rsidP="00241664">
      <w:pPr>
        <w:tabs>
          <w:tab w:val="left" w:pos="312"/>
        </w:tabs>
        <w:autoSpaceDE w:val="0"/>
        <w:autoSpaceDN w:val="0"/>
        <w:adjustRightInd w:val="0"/>
        <w:spacing w:after="0" w:line="276" w:lineRule="auto"/>
        <w:ind w:left="-1499"/>
        <w:jc w:val="both"/>
        <w:rPr>
          <w:rFonts w:ascii="Arial" w:eastAsia="Times New Roman" w:hAnsi="Arial" w:cs="Arial"/>
          <w:kern w:val="0"/>
          <w:lang w:eastAsia="pl-PL"/>
        </w:rPr>
      </w:pPr>
    </w:p>
    <w:p w:rsidR="001B4941" w:rsidRDefault="005B1C7A">
      <w:r w:rsidRPr="006C3F37"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</w:rPr>
        <w:t xml:space="preserve">* </w:t>
      </w:r>
      <w:r w:rsidRPr="006C3F37">
        <w:rPr>
          <w:rFonts w:ascii="Arial" w:eastAsia="Times New Roman" w:hAnsi="Arial" w:cs="Arial"/>
          <w:bCs/>
          <w:kern w:val="0"/>
          <w:sz w:val="16"/>
          <w:szCs w:val="16"/>
          <w:lang w:eastAsia="pl-PL"/>
        </w:rPr>
        <w:t>Informacja powinna zostać udzielona odrębnym pismem opatrzonym podpisem kierownika kontrolowanej jednostki.</w:t>
      </w:r>
    </w:p>
    <w:sectPr w:rsidR="001B4941" w:rsidSect="00D70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2D" w:rsidRDefault="008C762D" w:rsidP="005B1C7A">
      <w:pPr>
        <w:spacing w:after="0" w:line="240" w:lineRule="auto"/>
      </w:pPr>
      <w:r>
        <w:separator/>
      </w:r>
    </w:p>
  </w:endnote>
  <w:endnote w:type="continuationSeparator" w:id="0">
    <w:p w:rsidR="008C762D" w:rsidRDefault="008C762D" w:rsidP="005B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2D" w:rsidRDefault="008C762D" w:rsidP="005B1C7A">
      <w:pPr>
        <w:spacing w:after="0" w:line="240" w:lineRule="auto"/>
      </w:pPr>
      <w:r>
        <w:separator/>
      </w:r>
    </w:p>
  </w:footnote>
  <w:footnote w:type="continuationSeparator" w:id="0">
    <w:p w:rsidR="008C762D" w:rsidRDefault="008C762D" w:rsidP="005B1C7A">
      <w:pPr>
        <w:spacing w:after="0" w:line="240" w:lineRule="auto"/>
      </w:pPr>
      <w:r>
        <w:continuationSeparator/>
      </w:r>
    </w:p>
  </w:footnote>
  <w:footnote w:id="1">
    <w:p w:rsidR="0063435F" w:rsidRDefault="005B1C7A" w:rsidP="005B1C7A">
      <w:pPr>
        <w:pStyle w:val="Tekstprzypisudolnego"/>
        <w:rPr>
          <w:rStyle w:val="FontStyle18"/>
          <w:b w:val="0"/>
          <w:sz w:val="16"/>
          <w:szCs w:val="16"/>
        </w:rPr>
      </w:pPr>
      <w:r w:rsidRPr="002F21E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F21EE">
        <w:rPr>
          <w:rFonts w:ascii="Calibri" w:hAnsi="Calibri" w:cs="Calibri"/>
          <w:b/>
          <w:sz w:val="16"/>
          <w:szCs w:val="16"/>
        </w:rPr>
        <w:t xml:space="preserve"> </w:t>
      </w:r>
      <w:r w:rsidRPr="006921AC">
        <w:rPr>
          <w:rStyle w:val="FontStyle18"/>
          <w:b w:val="0"/>
          <w:sz w:val="16"/>
          <w:szCs w:val="16"/>
        </w:rPr>
        <w:t>Zakres kontroli i zagadnienia wymagające oceny są każdorazowo określane w dokumentacji wymaganej w przepisach ustawy z dnia 15 lipca 2011 r.</w:t>
      </w:r>
    </w:p>
    <w:p w:rsidR="005B1C7A" w:rsidRPr="002F21EE" w:rsidRDefault="0063435F" w:rsidP="005B1C7A">
      <w:pPr>
        <w:pStyle w:val="Tekstprzypisudolnego"/>
        <w:rPr>
          <w:rFonts w:ascii="Calibri" w:hAnsi="Calibri" w:cs="Calibri"/>
          <w:b/>
          <w:sz w:val="16"/>
          <w:szCs w:val="16"/>
        </w:rPr>
      </w:pPr>
      <w:r>
        <w:rPr>
          <w:rStyle w:val="FontStyle18"/>
          <w:b w:val="0"/>
          <w:sz w:val="16"/>
          <w:szCs w:val="16"/>
        </w:rPr>
        <w:t xml:space="preserve">  </w:t>
      </w:r>
      <w:r w:rsidR="005B1C7A" w:rsidRPr="006921AC">
        <w:rPr>
          <w:rStyle w:val="FontStyle18"/>
          <w:b w:val="0"/>
          <w:sz w:val="16"/>
          <w:szCs w:val="16"/>
        </w:rPr>
        <w:t xml:space="preserve">o </w:t>
      </w:r>
      <w:r w:rsidR="005B1C7A" w:rsidRPr="006921AC">
        <w:rPr>
          <w:rStyle w:val="FontStyle19"/>
          <w:sz w:val="16"/>
          <w:szCs w:val="16"/>
        </w:rPr>
        <w:t>kontroli w administracji rządowej</w:t>
      </w:r>
      <w:r w:rsidR="005B1C7A" w:rsidRPr="006921AC">
        <w:rPr>
          <w:rStyle w:val="FontStyle19"/>
          <w:b/>
          <w:sz w:val="16"/>
          <w:szCs w:val="16"/>
        </w:rPr>
        <w:t xml:space="preserve"> </w:t>
      </w:r>
      <w:r w:rsidR="005B1C7A" w:rsidRPr="006921AC">
        <w:rPr>
          <w:rStyle w:val="FontStyle18"/>
          <w:b w:val="0"/>
          <w:sz w:val="16"/>
          <w:szCs w:val="16"/>
        </w:rPr>
        <w:t>(tj. Dz. U. z 2020 r. poz. 224).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12E"/>
    <w:multiLevelType w:val="hybridMultilevel"/>
    <w:tmpl w:val="7644AD8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3AF00B8"/>
    <w:multiLevelType w:val="hybridMultilevel"/>
    <w:tmpl w:val="F2C4D9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694614"/>
    <w:multiLevelType w:val="hybridMultilevel"/>
    <w:tmpl w:val="D7A0C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F5EE6"/>
    <w:multiLevelType w:val="hybridMultilevel"/>
    <w:tmpl w:val="7FFC65BC"/>
    <w:lvl w:ilvl="0" w:tplc="469A0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66EF3"/>
    <w:multiLevelType w:val="hybridMultilevel"/>
    <w:tmpl w:val="19B491FA"/>
    <w:lvl w:ilvl="0" w:tplc="945AD264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61325D"/>
    <w:multiLevelType w:val="singleLevel"/>
    <w:tmpl w:val="110A0A3A"/>
    <w:lvl w:ilvl="0">
      <w:start w:val="13"/>
      <w:numFmt w:val="decimal"/>
      <w:lvlText w:val="%1."/>
      <w:legacy w:legacy="1" w:legacySpace="0" w:legacyIndent="298"/>
      <w:lvlJc w:val="left"/>
      <w:rPr>
        <w:rFonts w:ascii="Calibri" w:hAnsi="Calibri" w:cs="Calibri" w:hint="default"/>
      </w:rPr>
    </w:lvl>
  </w:abstractNum>
  <w:abstractNum w:abstractNumId="6">
    <w:nsid w:val="71B46791"/>
    <w:multiLevelType w:val="hybridMultilevel"/>
    <w:tmpl w:val="F77E5A56"/>
    <w:lvl w:ilvl="0" w:tplc="04150017">
      <w:start w:val="1"/>
      <w:numFmt w:val="lowerLetter"/>
      <w:lvlText w:val="%1)"/>
      <w:lvlJc w:val="left"/>
      <w:pPr>
        <w:ind w:left="1022" w:hanging="360"/>
      </w:p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7">
    <w:nsid w:val="7B59616A"/>
    <w:multiLevelType w:val="hybridMultilevel"/>
    <w:tmpl w:val="EE68CD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lvl w:ilvl="0">
        <w:start w:val="13"/>
        <w:numFmt w:val="decimal"/>
        <w:lvlText w:val="%1."/>
        <w:legacy w:legacy="1" w:legacySpace="0" w:legacyIndent="293"/>
        <w:lvlJc w:val="left"/>
        <w:rPr>
          <w:rFonts w:ascii="Arial" w:hAnsi="Arial" w:cs="Arial" w:hint="default"/>
          <w:b w:val="0"/>
        </w:rPr>
      </w:lvl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664"/>
    <w:rsid w:val="0005144C"/>
    <w:rsid w:val="000B0D00"/>
    <w:rsid w:val="001B36DA"/>
    <w:rsid w:val="001B4941"/>
    <w:rsid w:val="00241664"/>
    <w:rsid w:val="00273F35"/>
    <w:rsid w:val="00315A5D"/>
    <w:rsid w:val="00391B0C"/>
    <w:rsid w:val="004C6C5A"/>
    <w:rsid w:val="00517E82"/>
    <w:rsid w:val="005B1C7A"/>
    <w:rsid w:val="0063435F"/>
    <w:rsid w:val="00734F97"/>
    <w:rsid w:val="00814524"/>
    <w:rsid w:val="008C762D"/>
    <w:rsid w:val="008E717D"/>
    <w:rsid w:val="00901FA5"/>
    <w:rsid w:val="009D4ACB"/>
    <w:rsid w:val="00D704F4"/>
    <w:rsid w:val="00DC6BF4"/>
    <w:rsid w:val="00EA077B"/>
    <w:rsid w:val="00EF2FCD"/>
    <w:rsid w:val="00F4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664"/>
  </w:style>
  <w:style w:type="paragraph" w:styleId="Nagwek1">
    <w:name w:val="heading 1"/>
    <w:basedOn w:val="Normalny"/>
    <w:next w:val="Normalny"/>
    <w:link w:val="Nagwek1Znak"/>
    <w:uiPriority w:val="9"/>
    <w:qFormat/>
    <w:rsid w:val="00241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6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6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6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6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6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6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6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16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6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6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664"/>
    <w:rPr>
      <w:b/>
      <w:bCs/>
      <w:smallCaps/>
      <w:color w:val="0F4761" w:themeColor="accent1" w:themeShade="BF"/>
      <w:spacing w:val="5"/>
    </w:rPr>
  </w:style>
  <w:style w:type="paragraph" w:customStyle="1" w:styleId="Style7">
    <w:name w:val="Style7"/>
    <w:basedOn w:val="Normalny"/>
    <w:uiPriority w:val="99"/>
    <w:rsid w:val="005B1C7A"/>
    <w:pPr>
      <w:widowControl w:val="0"/>
      <w:autoSpaceDE w:val="0"/>
      <w:autoSpaceDN w:val="0"/>
      <w:adjustRightInd w:val="0"/>
      <w:spacing w:after="0" w:line="274" w:lineRule="exact"/>
      <w:ind w:hanging="298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FontStyle16">
    <w:name w:val="Font Style16"/>
    <w:uiPriority w:val="99"/>
    <w:rsid w:val="005B1C7A"/>
    <w:rPr>
      <w:rFonts w:ascii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C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C7A"/>
    <w:rPr>
      <w:sz w:val="20"/>
      <w:szCs w:val="20"/>
    </w:rPr>
  </w:style>
  <w:style w:type="character" w:customStyle="1" w:styleId="FontStyle18">
    <w:name w:val="Font Style18"/>
    <w:uiPriority w:val="99"/>
    <w:rsid w:val="005B1C7A"/>
    <w:rPr>
      <w:rFonts w:ascii="Calibri" w:hAnsi="Calibri" w:cs="Calibri"/>
      <w:b/>
      <w:bCs/>
      <w:sz w:val="18"/>
      <w:szCs w:val="18"/>
    </w:rPr>
  </w:style>
  <w:style w:type="character" w:customStyle="1" w:styleId="FontStyle19">
    <w:name w:val="Font Style19"/>
    <w:uiPriority w:val="99"/>
    <w:rsid w:val="005B1C7A"/>
    <w:rPr>
      <w:rFonts w:ascii="Calibri" w:hAnsi="Calibri" w:cs="Calibri"/>
      <w:i/>
      <w:iCs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5B1C7A"/>
    <w:rPr>
      <w:vertAlign w:val="superscript"/>
    </w:rPr>
  </w:style>
  <w:style w:type="paragraph" w:customStyle="1" w:styleId="Style12">
    <w:name w:val="Style12"/>
    <w:basedOn w:val="Normalny"/>
    <w:uiPriority w:val="99"/>
    <w:rsid w:val="005B1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FontStyle17">
    <w:name w:val="Font Style17"/>
    <w:uiPriority w:val="99"/>
    <w:rsid w:val="005B1C7A"/>
    <w:rPr>
      <w:rFonts w:ascii="Calibri" w:hAnsi="Calibri" w:cs="Calibri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5B1C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kern w:val="0"/>
      <w:lang w:eastAsia="pl-PL"/>
    </w:rPr>
  </w:style>
  <w:style w:type="paragraph" w:customStyle="1" w:styleId="Style3">
    <w:name w:val="Style3"/>
    <w:basedOn w:val="Normalny"/>
    <w:uiPriority w:val="99"/>
    <w:rsid w:val="005B1C7A"/>
    <w:pPr>
      <w:widowControl w:val="0"/>
      <w:autoSpaceDE w:val="0"/>
      <w:autoSpaceDN w:val="0"/>
      <w:adjustRightInd w:val="0"/>
      <w:spacing w:after="0" w:line="288" w:lineRule="exact"/>
      <w:ind w:hanging="566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 Marek</dc:creator>
  <cp:lastModifiedBy>\</cp:lastModifiedBy>
  <cp:revision>2</cp:revision>
  <cp:lastPrinted>2024-12-17T10:34:00Z</cp:lastPrinted>
  <dcterms:created xsi:type="dcterms:W3CDTF">2025-05-05T08:06:00Z</dcterms:created>
  <dcterms:modified xsi:type="dcterms:W3CDTF">2025-05-05T08:06:00Z</dcterms:modified>
</cp:coreProperties>
</file>